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090F07" w14:paraId="00632CF1" w14:textId="77777777" w:rsidTr="00FC4F70">
        <w:tc>
          <w:tcPr>
            <w:tcW w:w="1985" w:type="dxa"/>
          </w:tcPr>
          <w:p w14:paraId="28423BCF" w14:textId="77777777" w:rsidR="006A6843" w:rsidRPr="00090F07" w:rsidRDefault="006A6843" w:rsidP="005B18EC">
            <w:pPr>
              <w:pStyle w:val="BodyText"/>
              <w:rPr>
                <w:b/>
                <w:bCs/>
                <w:sz w:val="20"/>
                <w:szCs w:val="20"/>
              </w:rPr>
            </w:pPr>
            <w:r w:rsidRPr="00090F07">
              <w:rPr>
                <w:b/>
                <w:bCs/>
                <w:sz w:val="20"/>
                <w:szCs w:val="20"/>
              </w:rPr>
              <w:t>Graphics</w:t>
            </w:r>
          </w:p>
        </w:tc>
        <w:tc>
          <w:tcPr>
            <w:tcW w:w="8080" w:type="dxa"/>
          </w:tcPr>
          <w:p w14:paraId="0FFD383D" w14:textId="77777777" w:rsidR="006A6843" w:rsidRPr="00090F07" w:rsidRDefault="006A6843" w:rsidP="005B18EC">
            <w:pPr>
              <w:pStyle w:val="BodyText"/>
              <w:rPr>
                <w:b/>
                <w:bCs/>
                <w:sz w:val="20"/>
                <w:szCs w:val="20"/>
              </w:rPr>
            </w:pPr>
            <w:r w:rsidRPr="00090F07">
              <w:rPr>
                <w:b/>
                <w:bCs/>
                <w:sz w:val="20"/>
                <w:szCs w:val="20"/>
              </w:rPr>
              <w:t>Script</w:t>
            </w:r>
          </w:p>
        </w:tc>
      </w:tr>
      <w:tr w:rsidR="006A6843" w:rsidRPr="00090F07" w14:paraId="48A92F2C" w14:textId="77777777" w:rsidTr="00FC4F70">
        <w:tc>
          <w:tcPr>
            <w:tcW w:w="1985" w:type="dxa"/>
          </w:tcPr>
          <w:p w14:paraId="77BFD68A" w14:textId="77777777" w:rsidR="006A6843" w:rsidRPr="00090F07" w:rsidRDefault="006A6843" w:rsidP="005B18EC">
            <w:pPr>
              <w:pStyle w:val="BodyText"/>
              <w:rPr>
                <w:sz w:val="20"/>
                <w:szCs w:val="20"/>
              </w:rPr>
            </w:pPr>
            <w:r w:rsidRPr="00090F07">
              <w:rPr>
                <w:sz w:val="20"/>
                <w:szCs w:val="20"/>
              </w:rPr>
              <w:t>Acknowledgement</w:t>
            </w:r>
          </w:p>
        </w:tc>
        <w:tc>
          <w:tcPr>
            <w:tcW w:w="8080" w:type="dxa"/>
          </w:tcPr>
          <w:p w14:paraId="159666CB" w14:textId="279FC349" w:rsidR="006A6843" w:rsidRPr="00090F07" w:rsidRDefault="006A6843" w:rsidP="005B18EC">
            <w:pPr>
              <w:pStyle w:val="TableText"/>
              <w:rPr>
                <w:szCs w:val="20"/>
              </w:rPr>
            </w:pPr>
            <w:r w:rsidRPr="00090F07">
              <w:rPr>
                <w:szCs w:val="20"/>
              </w:rPr>
              <w:t xml:space="preserve">The following video has been filmed on Kaurna Land. </w:t>
            </w:r>
          </w:p>
          <w:p w14:paraId="45F248F2" w14:textId="77777777" w:rsidR="006A6843" w:rsidRPr="00090F07" w:rsidRDefault="006A6843" w:rsidP="005B18EC">
            <w:pPr>
              <w:pStyle w:val="TableText"/>
              <w:rPr>
                <w:szCs w:val="20"/>
              </w:rPr>
            </w:pPr>
            <w:r w:rsidRPr="00090F07">
              <w:rPr>
                <w:szCs w:val="20"/>
              </w:rPr>
              <w:t xml:space="preserve">We acknowledge this is the traditional country of the Kaurna people of the Adelaide Plains and pay respect to Elders past and present. </w:t>
            </w:r>
          </w:p>
          <w:p w14:paraId="7AE54586" w14:textId="77777777" w:rsidR="006A6843" w:rsidRPr="00090F07" w:rsidRDefault="006A6843" w:rsidP="005B18EC">
            <w:pPr>
              <w:pStyle w:val="TableText"/>
              <w:rPr>
                <w:szCs w:val="20"/>
              </w:rPr>
            </w:pPr>
            <w:r w:rsidRPr="00090F07">
              <w:rPr>
                <w:szCs w:val="20"/>
              </w:rPr>
              <w:t>We recognise their cultural heritage, beliefs and relationship with the land and respect that they are of continuing importance to the Kaurna people living today.</w:t>
            </w:r>
          </w:p>
        </w:tc>
      </w:tr>
      <w:tr w:rsidR="006A6843" w:rsidRPr="00090F07" w14:paraId="7C2D8990" w14:textId="77777777" w:rsidTr="00FC4F70">
        <w:tc>
          <w:tcPr>
            <w:tcW w:w="1985" w:type="dxa"/>
          </w:tcPr>
          <w:p w14:paraId="171ECC2B"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BE675C5" w14:textId="77777777" w:rsidR="006A6843" w:rsidRDefault="006A6843" w:rsidP="005B18EC">
            <w:pPr>
              <w:pStyle w:val="BodyText"/>
              <w:rPr>
                <w:sz w:val="20"/>
                <w:szCs w:val="20"/>
              </w:rPr>
            </w:pPr>
            <w:r w:rsidRPr="00090F07">
              <w:rPr>
                <w:sz w:val="20"/>
                <w:szCs w:val="20"/>
              </w:rPr>
              <w:t xml:space="preserve">Right to </w:t>
            </w:r>
            <w:r w:rsidR="008D7D27">
              <w:rPr>
                <w:sz w:val="20"/>
                <w:szCs w:val="20"/>
              </w:rPr>
              <w:t>services and support</w:t>
            </w:r>
          </w:p>
          <w:p w14:paraId="5FFCB160" w14:textId="0B5FC887" w:rsidR="00EC46D4" w:rsidRPr="00EC46D4" w:rsidRDefault="00F261F0" w:rsidP="005B18EC">
            <w:pPr>
              <w:pStyle w:val="BodyText"/>
              <w:rPr>
                <w:sz w:val="20"/>
                <w:szCs w:val="20"/>
              </w:rPr>
            </w:pPr>
            <w:r>
              <w:rPr>
                <w:b/>
                <w:bCs/>
                <w:sz w:val="20"/>
                <w:szCs w:val="20"/>
              </w:rPr>
              <w:t>Victim Support Service</w:t>
            </w:r>
          </w:p>
        </w:tc>
      </w:tr>
      <w:tr w:rsidR="006A6843" w:rsidRPr="00090F07" w14:paraId="65E443D7" w14:textId="77777777" w:rsidTr="00FC4F70">
        <w:tc>
          <w:tcPr>
            <w:tcW w:w="1985" w:type="dxa"/>
          </w:tcPr>
          <w:p w14:paraId="7A034368" w14:textId="2A436706" w:rsidR="006A6843" w:rsidRPr="00090F07" w:rsidRDefault="004B25CD" w:rsidP="005B18EC">
            <w:pPr>
              <w:pStyle w:val="BodyText"/>
              <w:rPr>
                <w:sz w:val="20"/>
                <w:szCs w:val="20"/>
              </w:rPr>
            </w:pPr>
            <w:r w:rsidRPr="00090F07">
              <w:rPr>
                <w:sz w:val="20"/>
                <w:szCs w:val="20"/>
              </w:rPr>
              <w:t>Filmed interview</w:t>
            </w:r>
          </w:p>
        </w:tc>
        <w:tc>
          <w:tcPr>
            <w:tcW w:w="8080" w:type="dxa"/>
          </w:tcPr>
          <w:p w14:paraId="6A3DF4C6" w14:textId="73A9C688" w:rsidR="006A6843" w:rsidRPr="00DD4D2E" w:rsidRDefault="00DD4D2E" w:rsidP="00DD4D2E">
            <w:bookmarkStart w:id="0" w:name="_GoBack"/>
            <w:bookmarkEnd w:id="0"/>
            <w:r>
              <w:t>M</w:t>
            </w:r>
            <w:r>
              <w:t xml:space="preserve">y name is </w:t>
            </w:r>
            <w:r>
              <w:t>S</w:t>
            </w:r>
            <w:r>
              <w:t xml:space="preserve">arah </w:t>
            </w:r>
            <w:r>
              <w:t>Sc</w:t>
            </w:r>
            <w:r>
              <w:t>am</w:t>
            </w:r>
            <w:r>
              <w:t>m</w:t>
            </w:r>
            <w:r>
              <w:t xml:space="preserve">el and </w:t>
            </w:r>
            <w:r>
              <w:t>I</w:t>
            </w:r>
            <w:r>
              <w:t xml:space="preserve"> am the general manager of the victim support service</w:t>
            </w:r>
            <w:r>
              <w:t xml:space="preserve">. </w:t>
            </w:r>
          </w:p>
        </w:tc>
      </w:tr>
      <w:tr w:rsidR="006A6843" w:rsidRPr="00090F07" w14:paraId="395FFB03" w14:textId="77777777" w:rsidTr="00FC4F70">
        <w:tc>
          <w:tcPr>
            <w:tcW w:w="1985" w:type="dxa"/>
          </w:tcPr>
          <w:p w14:paraId="010B8F3D"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3382BB80" w14:textId="77777777" w:rsidR="006A6843" w:rsidRPr="00090F07" w:rsidRDefault="006A6843" w:rsidP="005B18EC">
            <w:pPr>
              <w:pStyle w:val="BodyText"/>
              <w:rPr>
                <w:b/>
                <w:bCs/>
                <w:sz w:val="20"/>
                <w:szCs w:val="20"/>
              </w:rPr>
            </w:pPr>
            <w:r w:rsidRPr="00090F07">
              <w:rPr>
                <w:b/>
                <w:bCs/>
                <w:sz w:val="20"/>
                <w:szCs w:val="20"/>
              </w:rPr>
              <w:t>Tell us about what you do</w:t>
            </w:r>
          </w:p>
        </w:tc>
      </w:tr>
      <w:tr w:rsidR="006A6843" w:rsidRPr="00090F07" w14:paraId="08BFC2E1" w14:textId="77777777" w:rsidTr="00FC4F70">
        <w:tc>
          <w:tcPr>
            <w:tcW w:w="1985" w:type="dxa"/>
          </w:tcPr>
          <w:p w14:paraId="322D7B7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1FD35064" w14:textId="046C198F" w:rsidR="006A6843" w:rsidRPr="00DD4D2E" w:rsidRDefault="00DD4D2E" w:rsidP="00DD4D2E">
            <w:r>
              <w:t>V</w:t>
            </w:r>
            <w:r>
              <w:t>ictims of crime come to the victim support service for general information</w:t>
            </w:r>
            <w:r>
              <w:t>. W</w:t>
            </w:r>
            <w:r>
              <w:t>e act as a referral service to other agencies</w:t>
            </w:r>
            <w:r>
              <w:t>. O</w:t>
            </w:r>
            <w:r>
              <w:t>ne of the programs what we do we have been running for more than 40 years is the court support program</w:t>
            </w:r>
            <w:r>
              <w:t>. W</w:t>
            </w:r>
            <w:r>
              <w:t>e have very experienced volunteers within this program</w:t>
            </w:r>
            <w:r>
              <w:t>,</w:t>
            </w:r>
            <w:r>
              <w:t xml:space="preserve"> we currently have around 20 volunteers in metropolitan </w:t>
            </w:r>
            <w:r>
              <w:t>Adelaide</w:t>
            </w:r>
            <w:r>
              <w:t xml:space="preserve"> and also in regional south </w:t>
            </w:r>
            <w:r>
              <w:t>Australia</w:t>
            </w:r>
            <w:r>
              <w:t xml:space="preserve"> and we're looking at doubling those numbers</w:t>
            </w:r>
            <w:r>
              <w:t xml:space="preserve">. </w:t>
            </w:r>
          </w:p>
        </w:tc>
      </w:tr>
      <w:tr w:rsidR="006A6843" w:rsidRPr="00090F07" w14:paraId="15C7C2F1" w14:textId="77777777" w:rsidTr="00FC4F70">
        <w:tc>
          <w:tcPr>
            <w:tcW w:w="1985" w:type="dxa"/>
          </w:tcPr>
          <w:p w14:paraId="3FA3EE35"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EF63123" w14:textId="62394AF1" w:rsidR="006A6843" w:rsidRPr="00090F07" w:rsidRDefault="00DD4D2E" w:rsidP="005B18EC">
            <w:pPr>
              <w:pStyle w:val="BodyText"/>
              <w:rPr>
                <w:b/>
                <w:bCs/>
                <w:sz w:val="20"/>
                <w:szCs w:val="20"/>
              </w:rPr>
            </w:pPr>
            <w:r>
              <w:rPr>
                <w:b/>
                <w:bCs/>
                <w:sz w:val="20"/>
                <w:szCs w:val="20"/>
              </w:rPr>
              <w:t>What is the court support program?</w:t>
            </w:r>
          </w:p>
        </w:tc>
      </w:tr>
      <w:tr w:rsidR="006A6843" w:rsidRPr="00090F07" w14:paraId="61E2C194" w14:textId="77777777" w:rsidTr="00FC4F70">
        <w:tc>
          <w:tcPr>
            <w:tcW w:w="1985" w:type="dxa"/>
          </w:tcPr>
          <w:p w14:paraId="2B8E4602" w14:textId="77777777" w:rsidR="006A6843" w:rsidRPr="00090F07" w:rsidRDefault="006A6843" w:rsidP="005B18EC">
            <w:pPr>
              <w:pStyle w:val="BodyText"/>
              <w:tabs>
                <w:tab w:val="center" w:pos="1023"/>
              </w:tabs>
              <w:rPr>
                <w:sz w:val="20"/>
                <w:szCs w:val="20"/>
              </w:rPr>
            </w:pPr>
            <w:r w:rsidRPr="00090F07">
              <w:rPr>
                <w:sz w:val="20"/>
                <w:szCs w:val="20"/>
              </w:rPr>
              <w:t>Filmed interview</w:t>
            </w:r>
          </w:p>
        </w:tc>
        <w:tc>
          <w:tcPr>
            <w:tcW w:w="8080" w:type="dxa"/>
          </w:tcPr>
          <w:p w14:paraId="022F0BC2" w14:textId="6E5C8437" w:rsidR="006A6843" w:rsidRPr="00DD4D2E" w:rsidRDefault="00DD4D2E" w:rsidP="00DD4D2E">
            <w:r>
              <w:t>T</w:t>
            </w:r>
            <w:r>
              <w:t>he support program is designed to shadow someone in the court process call companions aren't necessarily there to provide advice but they're there to guide people through the physical court show them where the bathrooms are get them a drink of water provide conversation and sometimes provide a distraction</w:t>
            </w:r>
            <w:r>
              <w:t>. E</w:t>
            </w:r>
            <w:r>
              <w:t xml:space="preserve">ach victim reacts to the core process very differently some people like to chat and like to know a little bit more about the process others just need a physical presence and someone to be there just with them during that process </w:t>
            </w:r>
            <w:r>
              <w:t xml:space="preserve"> </w:t>
            </w:r>
          </w:p>
        </w:tc>
      </w:tr>
      <w:tr w:rsidR="00DD4D2E" w:rsidRPr="00090F07" w14:paraId="67D87E4C" w14:textId="77777777" w:rsidTr="00FC4F70">
        <w:tc>
          <w:tcPr>
            <w:tcW w:w="1985" w:type="dxa"/>
          </w:tcPr>
          <w:p w14:paraId="67D46E1C" w14:textId="2C516B1B" w:rsidR="00DD4D2E" w:rsidRPr="00090F07" w:rsidRDefault="00DD4D2E" w:rsidP="005B18EC">
            <w:pPr>
              <w:pStyle w:val="BodyText"/>
              <w:tabs>
                <w:tab w:val="center" w:pos="1023"/>
              </w:tabs>
              <w:rPr>
                <w:sz w:val="20"/>
                <w:szCs w:val="20"/>
              </w:rPr>
            </w:pPr>
            <w:r>
              <w:rPr>
                <w:sz w:val="20"/>
                <w:szCs w:val="20"/>
              </w:rPr>
              <w:t>Words on screen</w:t>
            </w:r>
          </w:p>
        </w:tc>
        <w:tc>
          <w:tcPr>
            <w:tcW w:w="8080" w:type="dxa"/>
          </w:tcPr>
          <w:p w14:paraId="5B9114D1" w14:textId="7E4825CB" w:rsidR="00DD4D2E" w:rsidRDefault="00DD4D2E" w:rsidP="00DD4D2E">
            <w:r>
              <w:t>How do you support victims?</w:t>
            </w:r>
          </w:p>
        </w:tc>
      </w:tr>
      <w:tr w:rsidR="00DD4D2E" w:rsidRPr="00090F07" w14:paraId="431951D7" w14:textId="77777777" w:rsidTr="00FC4F70">
        <w:tc>
          <w:tcPr>
            <w:tcW w:w="1985" w:type="dxa"/>
          </w:tcPr>
          <w:p w14:paraId="77722AC8" w14:textId="5F17D8F3" w:rsidR="00DD4D2E" w:rsidRPr="00090F07" w:rsidRDefault="00DD4D2E" w:rsidP="005B18EC">
            <w:pPr>
              <w:pStyle w:val="BodyText"/>
              <w:tabs>
                <w:tab w:val="center" w:pos="1023"/>
              </w:tabs>
              <w:rPr>
                <w:sz w:val="20"/>
                <w:szCs w:val="20"/>
              </w:rPr>
            </w:pPr>
            <w:r>
              <w:rPr>
                <w:sz w:val="20"/>
                <w:szCs w:val="20"/>
              </w:rPr>
              <w:t>Filmed interview</w:t>
            </w:r>
          </w:p>
        </w:tc>
        <w:tc>
          <w:tcPr>
            <w:tcW w:w="8080" w:type="dxa"/>
          </w:tcPr>
          <w:p w14:paraId="71E0408D" w14:textId="0493207E" w:rsidR="00DD4D2E" w:rsidRDefault="00DD4D2E" w:rsidP="00DD4D2E">
            <w:r>
              <w:t>it can be a very daunting experience going to court for the first time and often being asked questions that they may not anticipate and it's extremely important to have a helping hand and some guidance through that process often the court system is quite lengthy and often our relationships with victims of crime go for a long period of time and also become almost becomes like a very close relationship and one that often lasts for a very long time</w:t>
            </w:r>
            <w:r>
              <w:t xml:space="preserve">. </w:t>
            </w:r>
          </w:p>
        </w:tc>
      </w:tr>
      <w:tr w:rsidR="00DD4D2E" w:rsidRPr="00090F07" w14:paraId="5EA8B49F" w14:textId="77777777" w:rsidTr="00FC4F70">
        <w:tc>
          <w:tcPr>
            <w:tcW w:w="1985" w:type="dxa"/>
          </w:tcPr>
          <w:p w14:paraId="0507F7DC" w14:textId="2EAE6F90" w:rsidR="00DD4D2E" w:rsidRDefault="00DD4D2E" w:rsidP="00DD4D2E">
            <w:pPr>
              <w:pStyle w:val="BodyText"/>
              <w:tabs>
                <w:tab w:val="center" w:pos="1023"/>
              </w:tabs>
              <w:rPr>
                <w:sz w:val="20"/>
                <w:szCs w:val="20"/>
              </w:rPr>
            </w:pPr>
            <w:r>
              <w:rPr>
                <w:sz w:val="20"/>
                <w:szCs w:val="20"/>
              </w:rPr>
              <w:t>Words on screen</w:t>
            </w:r>
          </w:p>
        </w:tc>
        <w:tc>
          <w:tcPr>
            <w:tcW w:w="8080" w:type="dxa"/>
          </w:tcPr>
          <w:p w14:paraId="1DBC5F82" w14:textId="14B6E0FA" w:rsidR="00DD4D2E" w:rsidRDefault="00DD4D2E" w:rsidP="00DD4D2E">
            <w:r>
              <w:t>Who do you typically help?</w:t>
            </w:r>
          </w:p>
        </w:tc>
      </w:tr>
      <w:tr w:rsidR="00DD4D2E" w:rsidRPr="00090F07" w14:paraId="62498C06" w14:textId="77777777" w:rsidTr="00FC4F70">
        <w:tc>
          <w:tcPr>
            <w:tcW w:w="1985" w:type="dxa"/>
          </w:tcPr>
          <w:p w14:paraId="09263306" w14:textId="74FAC2F2" w:rsidR="00DD4D2E" w:rsidRDefault="00DD4D2E" w:rsidP="00DD4D2E">
            <w:pPr>
              <w:pStyle w:val="BodyText"/>
              <w:tabs>
                <w:tab w:val="center" w:pos="1023"/>
              </w:tabs>
              <w:rPr>
                <w:sz w:val="20"/>
                <w:szCs w:val="20"/>
              </w:rPr>
            </w:pPr>
            <w:r>
              <w:rPr>
                <w:sz w:val="20"/>
                <w:szCs w:val="20"/>
              </w:rPr>
              <w:t>Filmed interview</w:t>
            </w:r>
          </w:p>
        </w:tc>
        <w:tc>
          <w:tcPr>
            <w:tcW w:w="8080" w:type="dxa"/>
          </w:tcPr>
          <w:p w14:paraId="198018F1" w14:textId="5F8BE691" w:rsidR="00DD4D2E" w:rsidRDefault="00DD4D2E" w:rsidP="00DD4D2E">
            <w:r>
              <w:t>T</w:t>
            </w:r>
            <w:r>
              <w:t>he court companion program is eligible to anyone in South Australia who is a victim of crime generally it's for victims of crime who are vulnerable and require assistance we will assist any vulnerable victim of crime whether it be murder or whether it's sexual assault really it depends on the referrals that we receive from witness assistance.</w:t>
            </w:r>
          </w:p>
        </w:tc>
      </w:tr>
      <w:tr w:rsidR="006A6843" w:rsidRPr="00090F07" w14:paraId="1D9E138A" w14:textId="77777777" w:rsidTr="00FC4F70">
        <w:tc>
          <w:tcPr>
            <w:tcW w:w="1985" w:type="dxa"/>
          </w:tcPr>
          <w:p w14:paraId="53293C22"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6FF4CE5F" w14:textId="7533A404" w:rsidR="006A6843" w:rsidRPr="00090F07" w:rsidRDefault="00DD4D2E" w:rsidP="005B18EC">
            <w:pPr>
              <w:pStyle w:val="BodyText"/>
              <w:rPr>
                <w:b/>
                <w:bCs/>
                <w:sz w:val="20"/>
                <w:szCs w:val="20"/>
              </w:rPr>
            </w:pPr>
            <w:r>
              <w:rPr>
                <w:b/>
                <w:bCs/>
                <w:sz w:val="20"/>
                <w:szCs w:val="20"/>
              </w:rPr>
              <w:t>Why is this helpful for victims?</w:t>
            </w:r>
          </w:p>
        </w:tc>
      </w:tr>
      <w:tr w:rsidR="006A6843" w:rsidRPr="00090F07" w14:paraId="11CB1891" w14:textId="77777777" w:rsidTr="00FC4F70">
        <w:tc>
          <w:tcPr>
            <w:tcW w:w="1985" w:type="dxa"/>
          </w:tcPr>
          <w:p w14:paraId="546066E1" w14:textId="77777777" w:rsidR="006A6843" w:rsidRPr="00090F07" w:rsidRDefault="006A6843" w:rsidP="005B18EC">
            <w:pPr>
              <w:pStyle w:val="BodyText"/>
              <w:rPr>
                <w:sz w:val="20"/>
                <w:szCs w:val="20"/>
              </w:rPr>
            </w:pPr>
            <w:r w:rsidRPr="00090F07">
              <w:rPr>
                <w:sz w:val="20"/>
                <w:szCs w:val="20"/>
              </w:rPr>
              <w:lastRenderedPageBreak/>
              <w:t>Filmed interview</w:t>
            </w:r>
          </w:p>
        </w:tc>
        <w:tc>
          <w:tcPr>
            <w:tcW w:w="8080" w:type="dxa"/>
          </w:tcPr>
          <w:p w14:paraId="6A8BD72F" w14:textId="4BCD0F57" w:rsidR="006A6843" w:rsidRPr="00090F07" w:rsidRDefault="00DD4D2E" w:rsidP="00DD4D2E">
            <w:pPr>
              <w:rPr>
                <w:rFonts w:ascii="Segoe UI" w:hAnsi="Segoe UI"/>
                <w:sz w:val="20"/>
                <w:szCs w:val="20"/>
              </w:rPr>
            </w:pPr>
            <w:r>
              <w:t>V</w:t>
            </w:r>
            <w:r>
              <w:t>ictim support service has been established for more than 40 years we have a wealth of knowledge and we're also there as a comfort for victims of crime and we believe that it's integral for people to have that support during court</w:t>
            </w:r>
            <w:r>
              <w:t>. N</w:t>
            </w:r>
            <w:r>
              <w:t>o one decides to become a victim of crime but when it does happen it can become quite daunting</w:t>
            </w:r>
            <w:r>
              <w:t xml:space="preserve">. </w:t>
            </w:r>
          </w:p>
        </w:tc>
      </w:tr>
      <w:tr w:rsidR="00DD4D2E" w:rsidRPr="00090F07" w14:paraId="31BACDDD" w14:textId="77777777" w:rsidTr="00FC4F70">
        <w:tc>
          <w:tcPr>
            <w:tcW w:w="1985" w:type="dxa"/>
          </w:tcPr>
          <w:p w14:paraId="0A9AA9A8" w14:textId="6974A50B" w:rsidR="00DD4D2E" w:rsidRPr="00090F07" w:rsidRDefault="00DD4D2E" w:rsidP="00DD4D2E">
            <w:pPr>
              <w:pStyle w:val="BodyText"/>
              <w:rPr>
                <w:sz w:val="20"/>
                <w:szCs w:val="20"/>
              </w:rPr>
            </w:pPr>
            <w:r w:rsidRPr="00090F07">
              <w:rPr>
                <w:sz w:val="20"/>
                <w:szCs w:val="20"/>
              </w:rPr>
              <w:t>Words on screen</w:t>
            </w:r>
          </w:p>
        </w:tc>
        <w:tc>
          <w:tcPr>
            <w:tcW w:w="8080" w:type="dxa"/>
          </w:tcPr>
          <w:p w14:paraId="6A6B4ECC" w14:textId="5F67DA15" w:rsidR="00DD4D2E" w:rsidRPr="00090F07" w:rsidRDefault="00DD4D2E" w:rsidP="00DD4D2E">
            <w:pPr>
              <w:pStyle w:val="BodyText"/>
              <w:rPr>
                <w:rFonts w:ascii="Segoe UI" w:hAnsi="Segoe UI"/>
                <w:sz w:val="20"/>
                <w:szCs w:val="20"/>
              </w:rPr>
            </w:pPr>
            <w:r>
              <w:rPr>
                <w:rFonts w:ascii="Segoe UI" w:hAnsi="Segoe UI"/>
                <w:sz w:val="20"/>
                <w:szCs w:val="20"/>
              </w:rPr>
              <w:t>How do victims access your service?</w:t>
            </w:r>
          </w:p>
        </w:tc>
      </w:tr>
      <w:tr w:rsidR="00DD4D2E" w:rsidRPr="00090F07" w14:paraId="0207AD97" w14:textId="77777777" w:rsidTr="00FC4F70">
        <w:tc>
          <w:tcPr>
            <w:tcW w:w="1985" w:type="dxa"/>
          </w:tcPr>
          <w:p w14:paraId="66786462" w14:textId="3AEC933A" w:rsidR="00DD4D2E" w:rsidRPr="00090F07" w:rsidRDefault="00DD4D2E" w:rsidP="00DD4D2E">
            <w:pPr>
              <w:pStyle w:val="BodyText"/>
              <w:rPr>
                <w:sz w:val="20"/>
                <w:szCs w:val="20"/>
              </w:rPr>
            </w:pPr>
            <w:r w:rsidRPr="00090F07">
              <w:rPr>
                <w:sz w:val="20"/>
                <w:szCs w:val="20"/>
              </w:rPr>
              <w:t>Filmed interview</w:t>
            </w:r>
          </w:p>
        </w:tc>
        <w:tc>
          <w:tcPr>
            <w:tcW w:w="8080" w:type="dxa"/>
          </w:tcPr>
          <w:p w14:paraId="33B00049" w14:textId="77F92817" w:rsidR="00DD4D2E" w:rsidRPr="00090F07" w:rsidRDefault="00DD4D2E" w:rsidP="00DD4D2E">
            <w:pPr>
              <w:rPr>
                <w:rFonts w:ascii="Segoe UI" w:hAnsi="Segoe UI"/>
                <w:sz w:val="20"/>
                <w:szCs w:val="20"/>
              </w:rPr>
            </w:pPr>
            <w:r>
              <w:t>S</w:t>
            </w:r>
            <w:r>
              <w:t xml:space="preserve">o the court support program that we run in partnership with the commissioner for victims </w:t>
            </w:r>
            <w:r>
              <w:t>rights</w:t>
            </w:r>
            <w:r>
              <w:t xml:space="preserve"> is a program that runs not only in metropolitan south australia but also in regional south australia so the key regional areas that we are able to cover at the moment are mount </w:t>
            </w:r>
            <w:r>
              <w:t>Gambier</w:t>
            </w:r>
            <w:r>
              <w:t xml:space="preserve"> the riverland and port </w:t>
            </w:r>
            <w:r>
              <w:t xml:space="preserve">Augusta. </w:t>
            </w:r>
          </w:p>
        </w:tc>
      </w:tr>
      <w:tr w:rsidR="00DD4D2E" w:rsidRPr="00090F07" w14:paraId="7C2290A5" w14:textId="77777777" w:rsidTr="00FC4F70">
        <w:tc>
          <w:tcPr>
            <w:tcW w:w="1985" w:type="dxa"/>
          </w:tcPr>
          <w:p w14:paraId="23040B42" w14:textId="5A97E3A3" w:rsidR="00DD4D2E" w:rsidRPr="00090F07" w:rsidRDefault="00DD4D2E" w:rsidP="00DD4D2E">
            <w:pPr>
              <w:pStyle w:val="BodyText"/>
              <w:rPr>
                <w:sz w:val="20"/>
                <w:szCs w:val="20"/>
              </w:rPr>
            </w:pPr>
            <w:r w:rsidRPr="00090F07">
              <w:rPr>
                <w:sz w:val="20"/>
                <w:szCs w:val="20"/>
              </w:rPr>
              <w:t>Words on screen</w:t>
            </w:r>
          </w:p>
        </w:tc>
        <w:tc>
          <w:tcPr>
            <w:tcW w:w="8080" w:type="dxa"/>
          </w:tcPr>
          <w:p w14:paraId="6D309720" w14:textId="7B90BB98" w:rsidR="00DD4D2E" w:rsidRDefault="00DD4D2E" w:rsidP="00DD4D2E">
            <w:r>
              <w:t>What is your advice to victims of crime?</w:t>
            </w:r>
          </w:p>
        </w:tc>
      </w:tr>
      <w:tr w:rsidR="00DD4D2E" w:rsidRPr="00090F07" w14:paraId="63F8AB7B" w14:textId="77777777" w:rsidTr="00FC4F70">
        <w:tc>
          <w:tcPr>
            <w:tcW w:w="1985" w:type="dxa"/>
          </w:tcPr>
          <w:p w14:paraId="55140B0B" w14:textId="1004C57A" w:rsidR="00DD4D2E" w:rsidRPr="00090F07" w:rsidRDefault="00DD4D2E" w:rsidP="00DD4D2E">
            <w:pPr>
              <w:pStyle w:val="BodyText"/>
              <w:rPr>
                <w:sz w:val="20"/>
                <w:szCs w:val="20"/>
              </w:rPr>
            </w:pPr>
            <w:r w:rsidRPr="00090F07">
              <w:rPr>
                <w:sz w:val="20"/>
                <w:szCs w:val="20"/>
              </w:rPr>
              <w:t>Filmed interview</w:t>
            </w:r>
          </w:p>
        </w:tc>
        <w:tc>
          <w:tcPr>
            <w:tcW w:w="8080" w:type="dxa"/>
          </w:tcPr>
          <w:p w14:paraId="2C83EF3F" w14:textId="766FD8AF" w:rsidR="00DD4D2E" w:rsidRDefault="00DD4D2E" w:rsidP="00DD4D2E">
            <w:r>
              <w:t>I</w:t>
            </w:r>
            <w:r>
              <w:t xml:space="preserve"> would say that we're working very hard to extend our services and that they should always feel free to pick up the phone never be afraid there's always someone on the end of the phone who's always very experienced whether it be with the victim support service or with the commissioner's office and we're always looking for ways to support victims of crime through the system</w:t>
            </w:r>
            <w:r>
              <w:t>.</w:t>
            </w:r>
          </w:p>
          <w:p w14:paraId="7CF87DA2" w14:textId="77777777" w:rsidR="00DD4D2E" w:rsidRDefault="00DD4D2E" w:rsidP="00DD4D2E"/>
        </w:tc>
      </w:tr>
      <w:tr w:rsidR="006A6843" w:rsidRPr="00090F07" w14:paraId="6A041DE1" w14:textId="77777777" w:rsidTr="00FC4F70">
        <w:tc>
          <w:tcPr>
            <w:tcW w:w="1985" w:type="dxa"/>
          </w:tcPr>
          <w:p w14:paraId="377A3B22" w14:textId="0DE179A2" w:rsidR="006A6843" w:rsidRPr="00090F07" w:rsidRDefault="004B25CD" w:rsidP="005B18EC">
            <w:pPr>
              <w:pStyle w:val="BodyText"/>
              <w:rPr>
                <w:sz w:val="20"/>
                <w:szCs w:val="20"/>
              </w:rPr>
            </w:pPr>
            <w:r w:rsidRPr="00090F07">
              <w:rPr>
                <w:sz w:val="20"/>
                <w:szCs w:val="20"/>
              </w:rPr>
              <w:t>Words on screen</w:t>
            </w:r>
          </w:p>
        </w:tc>
        <w:tc>
          <w:tcPr>
            <w:tcW w:w="8080" w:type="dxa"/>
          </w:tcPr>
          <w:p w14:paraId="04513822" w14:textId="77777777" w:rsidR="006A6843" w:rsidRPr="00090F07" w:rsidRDefault="006A6843" w:rsidP="005B18EC">
            <w:pPr>
              <w:pStyle w:val="BodyText"/>
              <w:rPr>
                <w:sz w:val="20"/>
                <w:szCs w:val="20"/>
              </w:rPr>
            </w:pPr>
            <w:r w:rsidRPr="00090F07">
              <w:rPr>
                <w:sz w:val="20"/>
                <w:szCs w:val="20"/>
              </w:rPr>
              <w:t>Have you been the victim of a crime?</w:t>
            </w:r>
          </w:p>
          <w:p w14:paraId="5A6D91F4" w14:textId="77777777" w:rsidR="006A6843" w:rsidRDefault="00DD4D2E" w:rsidP="005B18EC">
            <w:pPr>
              <w:pStyle w:val="BodyText"/>
              <w:rPr>
                <w:sz w:val="20"/>
                <w:szCs w:val="20"/>
              </w:rPr>
            </w:pPr>
            <w:r>
              <w:rPr>
                <w:sz w:val="20"/>
                <w:szCs w:val="20"/>
              </w:rPr>
              <w:t xml:space="preserve">You have rights. </w:t>
            </w:r>
          </w:p>
          <w:p w14:paraId="7CB158F0" w14:textId="77777777" w:rsidR="00DD4D2E" w:rsidRDefault="00DD4D2E" w:rsidP="005B18EC">
            <w:pPr>
              <w:pStyle w:val="BodyText"/>
              <w:rPr>
                <w:sz w:val="20"/>
                <w:szCs w:val="20"/>
              </w:rPr>
            </w:pPr>
            <w:r>
              <w:rPr>
                <w:sz w:val="20"/>
                <w:szCs w:val="20"/>
              </w:rPr>
              <w:t>Find out more at Victims of Crime SA</w:t>
            </w:r>
          </w:p>
          <w:p w14:paraId="673B53A0" w14:textId="290B5DFF" w:rsidR="00DD4D2E" w:rsidRPr="00090F07" w:rsidRDefault="00DD4D2E" w:rsidP="005B18EC">
            <w:pPr>
              <w:pStyle w:val="BodyText"/>
              <w:rPr>
                <w:sz w:val="20"/>
                <w:szCs w:val="20"/>
              </w:rPr>
            </w:pPr>
            <w:r>
              <w:rPr>
                <w:sz w:val="20"/>
                <w:szCs w:val="20"/>
              </w:rPr>
              <w:t>www.voc.sa.gov.au</w:t>
            </w:r>
          </w:p>
        </w:tc>
      </w:tr>
    </w:tbl>
    <w:p w14:paraId="32996B1A" w14:textId="77777777" w:rsidR="00520E1B" w:rsidRPr="006A6843" w:rsidRDefault="00E40E8F" w:rsidP="006A6843"/>
    <w:sectPr w:rsidR="00520E1B" w:rsidRPr="006A6843" w:rsidSect="00FC4F70">
      <w:headerReference w:type="even" r:id="rId6"/>
      <w:headerReference w:type="default" r:id="rId7"/>
      <w:headerReference w:type="firs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68F5" w14:textId="77777777" w:rsidR="00E40E8F" w:rsidRDefault="00E40E8F" w:rsidP="009827EC">
      <w:r>
        <w:separator/>
      </w:r>
    </w:p>
  </w:endnote>
  <w:endnote w:type="continuationSeparator" w:id="0">
    <w:p w14:paraId="4F3BFC93" w14:textId="77777777" w:rsidR="00E40E8F" w:rsidRDefault="00E40E8F"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D956A" w14:textId="77777777" w:rsidR="00E40E8F" w:rsidRDefault="00E40E8F" w:rsidP="009827EC">
      <w:r>
        <w:separator/>
      </w:r>
    </w:p>
  </w:footnote>
  <w:footnote w:type="continuationSeparator" w:id="0">
    <w:p w14:paraId="20CFB98B" w14:textId="77777777" w:rsidR="00E40E8F" w:rsidRDefault="00E40E8F"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dXAFVSMCAABNBAAADgAAAAAAAAAAAAAAAAAuAgAAZHJzL2Uyb0RvYy54bWxQ&#10;SwECLQAUAAYACAAAACEAVCUJVdsAAAAIAQAADwAAAAAAAAAAAAAAAAB9BAAAZHJzL2Rvd25yZXYu&#10;eG1sUEsFBgAAAAAEAAQA8wAAAIUFAAAAAA==&#10;" filled="f" stroked="f">
              <v:fill o:detectmouseclick="t"/>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" filled="f" stroked="f">
              <v:fill o:detectmouseclick="t"/>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386DE8"/>
    <w:rsid w:val="003E56DC"/>
    <w:rsid w:val="00464077"/>
    <w:rsid w:val="004B25CD"/>
    <w:rsid w:val="006A6843"/>
    <w:rsid w:val="00745AEF"/>
    <w:rsid w:val="007B33C4"/>
    <w:rsid w:val="007C3226"/>
    <w:rsid w:val="00831C7A"/>
    <w:rsid w:val="00841D2F"/>
    <w:rsid w:val="008D7D27"/>
    <w:rsid w:val="00902D53"/>
    <w:rsid w:val="00930746"/>
    <w:rsid w:val="00931AD7"/>
    <w:rsid w:val="009827EC"/>
    <w:rsid w:val="00A04188"/>
    <w:rsid w:val="00D401B9"/>
    <w:rsid w:val="00DD4425"/>
    <w:rsid w:val="00DD4D2E"/>
    <w:rsid w:val="00E40E8F"/>
    <w:rsid w:val="00E817B8"/>
    <w:rsid w:val="00EC46D4"/>
    <w:rsid w:val="00F261F0"/>
    <w:rsid w:val="00FB1EF3"/>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Uzumcu, Isabella (AGD)</cp:lastModifiedBy>
  <cp:revision>2</cp:revision>
  <dcterms:created xsi:type="dcterms:W3CDTF">2021-09-10T07:17:00Z</dcterms:created>
  <dcterms:modified xsi:type="dcterms:W3CDTF">2021-09-10T07:17:00Z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